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0" w:type="dxa"/>
        <w:tblInd w:w="-16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67"/>
        <w:gridCol w:w="1693"/>
      </w:tblGrid>
      <w:tr w:rsidR="0002149C" w14:paraId="761D8418" w14:textId="77777777">
        <w:trPr>
          <w:trHeight w:val="127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C233" w14:textId="77777777" w:rsidR="0002149C" w:rsidRDefault="00000000">
            <w:pPr>
              <w:spacing w:after="22"/>
            </w:pPr>
            <w:proofErr w:type="spellStart"/>
            <w:r>
              <w:rPr>
                <w:rFonts w:ascii="Arial" w:eastAsia="Arial" w:hAnsi="Arial" w:cs="Arial"/>
                <w:sz w:val="28"/>
              </w:rPr>
              <w:t>FedeAU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asbl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4EDE1E4" w14:textId="77777777" w:rsidR="0002149C" w:rsidRDefault="00000000">
            <w:pPr>
              <w:spacing w:after="21"/>
            </w:pPr>
            <w:r>
              <w:rPr>
                <w:rFonts w:ascii="Arial" w:eastAsia="Arial" w:hAnsi="Arial" w:cs="Arial"/>
                <w:sz w:val="28"/>
              </w:rPr>
              <w:t xml:space="preserve">382 av. de la couronne (A.1), 1050 Ixelles </w:t>
            </w:r>
          </w:p>
          <w:p w14:paraId="24FFA69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BE 0756.843.488 </w:t>
            </w:r>
          </w:p>
          <w:p w14:paraId="7EA7DD7A" w14:textId="77777777" w:rsidR="0002149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889C" w14:textId="77777777" w:rsidR="0002149C" w:rsidRDefault="00000000">
            <w:pPr>
              <w:spacing w:after="0"/>
            </w:pPr>
            <w:r>
              <w:rPr>
                <w:b/>
                <w:sz w:val="36"/>
              </w:rPr>
              <w:t xml:space="preserve">BUDGET </w:t>
            </w:r>
          </w:p>
          <w:p w14:paraId="5BCD82BD" w14:textId="77777777" w:rsidR="0002149C" w:rsidRDefault="00000000">
            <w:pPr>
              <w:spacing w:after="0"/>
            </w:pPr>
            <w:r>
              <w:rPr>
                <w:b/>
                <w:sz w:val="36"/>
              </w:rPr>
              <w:t xml:space="preserve">2024 (€) </w:t>
            </w:r>
          </w:p>
        </w:tc>
      </w:tr>
      <w:tr w:rsidR="0002149C" w14:paraId="2F16DC11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7B16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TVAC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EA42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TOTAL </w:t>
            </w:r>
          </w:p>
        </w:tc>
      </w:tr>
      <w:tr w:rsidR="0002149C" w14:paraId="481F5F20" w14:textId="77777777">
        <w:trPr>
          <w:trHeight w:val="33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B0535D8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Subsides et Cotisations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1EF65C1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95400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36098DF6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296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Subside BEE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8D39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55000 </w:t>
            </w:r>
          </w:p>
        </w:tc>
      </w:tr>
      <w:tr w:rsidR="0002149C" w14:paraId="23D58529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F06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Fondation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QiGreen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28B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38000 </w:t>
            </w:r>
          </w:p>
        </w:tc>
      </w:tr>
      <w:tr w:rsidR="0002149C" w14:paraId="2BA50ACB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453E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Cotisations Membres 2024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4313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2400 </w:t>
            </w:r>
          </w:p>
        </w:tc>
      </w:tr>
      <w:tr w:rsidR="0002149C" w14:paraId="3DC93F3A" w14:textId="77777777">
        <w:trPr>
          <w:trHeight w:val="333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DE2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4385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2B469835" w14:textId="77777777">
        <w:trPr>
          <w:trHeight w:val="329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C8B5BE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Rémunérations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952745B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73350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433FB892" w14:textId="77777777">
        <w:trPr>
          <w:trHeight w:val="335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F83A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CHARLIER Gaëtane (3,5/5 ETP)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B426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36850 </w:t>
            </w:r>
          </w:p>
        </w:tc>
      </w:tr>
      <w:tr w:rsidR="0002149C" w14:paraId="628A8CF0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9DAA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HERMAN Laura Sylvia (3/5 ETP)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0CA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30500 </w:t>
            </w:r>
          </w:p>
        </w:tc>
      </w:tr>
      <w:tr w:rsidR="0002149C" w14:paraId="52856E50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EEE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Sous-traitance comptable Début des Haricots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84E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6000 </w:t>
            </w:r>
          </w:p>
        </w:tc>
      </w:tr>
      <w:tr w:rsidR="0002149C" w14:paraId="44DD0F54" w14:textId="77777777">
        <w:trPr>
          <w:trHeight w:val="335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D511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D7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5E934008" w14:textId="77777777">
        <w:trPr>
          <w:trHeight w:val="329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FA1DA37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Frais directs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F3D5283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10497,5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317EF827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67F2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Mise en réseau des membres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7E1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2047,5 </w:t>
            </w:r>
          </w:p>
        </w:tc>
      </w:tr>
      <w:tr w:rsidR="0002149C" w14:paraId="2CEE2505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ACE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Partage de connaissances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3293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2000 </w:t>
            </w:r>
          </w:p>
        </w:tc>
      </w:tr>
      <w:tr w:rsidR="0002149C" w14:paraId="4A41A990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EEB5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Communication externe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0F2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300 </w:t>
            </w:r>
          </w:p>
        </w:tc>
      </w:tr>
      <w:tr w:rsidR="0002149C" w14:paraId="1B4CB670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D540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Représentation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CD37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3000 </w:t>
            </w:r>
          </w:p>
        </w:tc>
      </w:tr>
      <w:tr w:rsidR="0002149C" w14:paraId="4AD1CF61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991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Communication interne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0BE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150 </w:t>
            </w:r>
          </w:p>
        </w:tc>
      </w:tr>
      <w:tr w:rsidR="0002149C" w14:paraId="4428DD46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B94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Expert culture maladie ravageurs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49D3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3000 </w:t>
            </w:r>
          </w:p>
        </w:tc>
      </w:tr>
      <w:tr w:rsidR="0002149C" w14:paraId="7DAFE7F1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40E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BDD1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70FB0118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6213D7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Frais indirects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DA012B9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8652,5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6C7C3112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F745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Loyer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E28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2400 </w:t>
            </w:r>
          </w:p>
        </w:tc>
      </w:tr>
      <w:tr w:rsidR="0002149C" w14:paraId="14965C1F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6B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Communications mobiles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D4A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180 </w:t>
            </w:r>
          </w:p>
        </w:tc>
      </w:tr>
      <w:tr w:rsidR="0002149C" w14:paraId="3C3A8AB4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BB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Secrétariat social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0A1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2300 </w:t>
            </w:r>
          </w:p>
        </w:tc>
      </w:tr>
      <w:tr w:rsidR="0002149C" w14:paraId="431D2041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E98B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Assurances &amp; médecine du travail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E47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750 </w:t>
            </w:r>
          </w:p>
        </w:tc>
      </w:tr>
      <w:tr w:rsidR="0002149C" w14:paraId="52FA8B38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E1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Frais matériel de bureau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34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607,5 </w:t>
            </w:r>
          </w:p>
        </w:tc>
      </w:tr>
      <w:tr w:rsidR="0002149C" w14:paraId="70BCBE11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2E9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Frais de déplacement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203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1080 </w:t>
            </w:r>
          </w:p>
        </w:tc>
      </w:tr>
      <w:tr w:rsidR="0002149C" w14:paraId="112BB226" w14:textId="77777777">
        <w:trPr>
          <w:trHeight w:val="33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8066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Frais bancaires + Charges Crédit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8406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70 </w:t>
            </w:r>
          </w:p>
        </w:tc>
      </w:tr>
      <w:tr w:rsidR="0002149C" w14:paraId="1A56D2A2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18B8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Formations personnel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3E89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300 </w:t>
            </w:r>
          </w:p>
        </w:tc>
      </w:tr>
      <w:tr w:rsidR="0002149C" w14:paraId="58EDE8DF" w14:textId="77777777">
        <w:trPr>
          <w:trHeight w:val="33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18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Publications légales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C0F8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165 </w:t>
            </w:r>
          </w:p>
        </w:tc>
      </w:tr>
      <w:tr w:rsidR="0002149C" w14:paraId="5FD83B3B" w14:textId="77777777">
        <w:trPr>
          <w:trHeight w:val="335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99B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29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505E66BB" w14:textId="77777777">
        <w:trPr>
          <w:trHeight w:val="329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5652EBD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Frais Investissements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5BEB625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500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2149C" w14:paraId="6A5AAEC0" w14:textId="77777777">
        <w:trPr>
          <w:trHeight w:val="33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41A" w14:textId="422E2E0D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Matériel IT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00F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500 </w:t>
            </w:r>
          </w:p>
        </w:tc>
      </w:tr>
      <w:tr w:rsidR="0002149C" w14:paraId="1F93D438" w14:textId="77777777">
        <w:trPr>
          <w:trHeight w:val="33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BA1463" w14:textId="56F6E27A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Résultat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ACE32B" w14:textId="77777777" w:rsidR="0002149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2400  </w:t>
            </w:r>
          </w:p>
        </w:tc>
      </w:tr>
    </w:tbl>
    <w:p w14:paraId="40E477F6" w14:textId="344260BB" w:rsidR="0002149C" w:rsidRDefault="0005314F" w:rsidP="0005314F">
      <w:pPr>
        <w:spacing w:after="986"/>
        <w:ind w:left="-2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DAED7D" wp14:editId="613B442E">
            <wp:simplePos x="0" y="0"/>
            <wp:positionH relativeFrom="page">
              <wp:posOffset>2419578</wp:posOffset>
            </wp:positionH>
            <wp:positionV relativeFrom="page">
              <wp:posOffset>9716086</wp:posOffset>
            </wp:positionV>
            <wp:extent cx="2844292" cy="480695"/>
            <wp:effectExtent l="0" t="0" r="0" b="0"/>
            <wp:wrapTopAndBottom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292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cs="Calibri"/>
        </w:rPr>
        <w:t xml:space="preserve"> </w:t>
      </w:r>
    </w:p>
    <w:sectPr w:rsidR="0002149C">
      <w:pgSz w:w="11906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9C"/>
    <w:rsid w:val="0002149C"/>
    <w:rsid w:val="000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4A1DD"/>
  <w15:docId w15:val="{CD1E9104-8C01-2E4B-9477-FCE4BC70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fr" w:eastAsia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Gaëtane FédéAU</dc:creator>
  <cp:keywords/>
  <cp:lastModifiedBy>LS Hmn</cp:lastModifiedBy>
  <cp:revision>2</cp:revision>
  <dcterms:created xsi:type="dcterms:W3CDTF">2024-02-19T11:27:00Z</dcterms:created>
  <dcterms:modified xsi:type="dcterms:W3CDTF">2024-02-19T11:27:00Z</dcterms:modified>
</cp:coreProperties>
</file>