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A2B0" w14:textId="5721E9BC" w:rsidR="00E30D5A" w:rsidRPr="004D65CF" w:rsidRDefault="00E30D5A" w:rsidP="00E30D5A">
      <w:pPr>
        <w:spacing w:after="5"/>
        <w:ind w:left="-3504" w:right="1349" w:hanging="10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4330E" wp14:editId="5C4F0584">
            <wp:simplePos x="0" y="0"/>
            <wp:positionH relativeFrom="column">
              <wp:posOffset>5038725</wp:posOffset>
            </wp:positionH>
            <wp:positionV relativeFrom="paragraph">
              <wp:posOffset>-50750</wp:posOffset>
            </wp:positionV>
            <wp:extent cx="635842" cy="635842"/>
            <wp:effectExtent l="0" t="0" r="0" b="0"/>
            <wp:wrapNone/>
            <wp:docPr id="1626401733" name="Image 1" descr="Une image contenant Graphiqu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01733" name="Image 1" descr="Une image contenant Graphique, Police, symbole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42" cy="635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5CF">
        <w:rPr>
          <w:rFonts w:cs="Calibri"/>
          <w:color w:val="222222"/>
          <w:sz w:val="20"/>
          <w:szCs w:val="20"/>
        </w:rPr>
        <w:t xml:space="preserve">Fédération bruxelloise des </w:t>
      </w:r>
      <w:proofErr w:type="spellStart"/>
      <w:r w:rsidRPr="004D65CF">
        <w:rPr>
          <w:rFonts w:cs="Calibri"/>
          <w:color w:val="222222"/>
          <w:sz w:val="20"/>
          <w:szCs w:val="20"/>
        </w:rPr>
        <w:t>professionnel.</w:t>
      </w:r>
      <w:proofErr w:type="gramStart"/>
      <w:r w:rsidRPr="004D65CF">
        <w:rPr>
          <w:rFonts w:cs="Calibri"/>
          <w:color w:val="222222"/>
          <w:sz w:val="20"/>
          <w:szCs w:val="20"/>
        </w:rPr>
        <w:t>le.s</w:t>
      </w:r>
      <w:proofErr w:type="spellEnd"/>
      <w:proofErr w:type="gramEnd"/>
      <w:r w:rsidRPr="004D65CF">
        <w:rPr>
          <w:rFonts w:cs="Calibri"/>
          <w:color w:val="222222"/>
          <w:sz w:val="20"/>
          <w:szCs w:val="20"/>
        </w:rPr>
        <w:t xml:space="preserve"> de l'agriculture urbaine</w:t>
      </w:r>
      <w:r w:rsidRPr="004D65C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A905C2" w14:textId="16A12AF8" w:rsidR="00E30D5A" w:rsidRPr="004D65CF" w:rsidRDefault="00E30D5A" w:rsidP="00E30D5A">
      <w:pPr>
        <w:spacing w:after="4"/>
        <w:ind w:left="-6121" w:right="1349" w:hanging="10"/>
        <w:jc w:val="right"/>
        <w:rPr>
          <w:sz w:val="20"/>
          <w:szCs w:val="20"/>
        </w:rPr>
      </w:pPr>
      <w:r w:rsidRPr="004D65CF">
        <w:rPr>
          <w:rFonts w:cs="Calibri"/>
          <w:sz w:val="20"/>
          <w:szCs w:val="20"/>
        </w:rPr>
        <w:t>Av. de la Couronne 382, 1050 Ixelles</w:t>
      </w:r>
      <w:r w:rsidRPr="004D65C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63B3547" w14:textId="242FBBB2" w:rsidR="00E30D5A" w:rsidRPr="00E30D5A" w:rsidRDefault="00E30D5A" w:rsidP="00E30D5A">
      <w:pPr>
        <w:spacing w:after="4"/>
        <w:ind w:left="-6121" w:right="1349" w:hanging="10"/>
        <w:jc w:val="right"/>
        <w:rPr>
          <w:sz w:val="20"/>
          <w:szCs w:val="20"/>
        </w:rPr>
      </w:pPr>
      <w:r w:rsidRPr="004D65CF">
        <w:rPr>
          <w:rFonts w:cs="Calibri"/>
          <w:sz w:val="20"/>
          <w:szCs w:val="20"/>
        </w:rPr>
        <w:t>N° entreprise : 0756.843.488</w:t>
      </w:r>
      <w:r w:rsidRPr="004D65C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F96B052" w14:textId="3F704ABB" w:rsidR="00687A42" w:rsidRDefault="00000000" w:rsidP="00E30D5A">
      <w:pPr>
        <w:pStyle w:val="Titre"/>
      </w:pPr>
      <w:r>
        <w:rPr>
          <w:rFonts w:eastAsia="Calibri"/>
          <w:u w:color="000000"/>
        </w:rPr>
        <w:t>Comptes simplifiés de l’année 2023 (</w:t>
      </w:r>
      <w:r w:rsidR="00E30D5A">
        <w:rPr>
          <w:rFonts w:eastAsia="Calibri"/>
          <w:u w:color="000000"/>
        </w:rPr>
        <w:t>€</w:t>
      </w:r>
      <w:r>
        <w:rPr>
          <w:rFonts w:eastAsia="Calibri"/>
          <w:u w:color="000000"/>
        </w:rPr>
        <w:t>)</w:t>
      </w:r>
      <w:r>
        <w:rPr>
          <w:rFonts w:eastAsia="Calibri"/>
          <w:sz w:val="22"/>
        </w:rPr>
        <w:t xml:space="preserve"> </w:t>
      </w:r>
    </w:p>
    <w:p w14:paraId="22F6EB18" w14:textId="5AC1C7FC" w:rsidR="00687A42" w:rsidRPr="00E55F86" w:rsidRDefault="00000000" w:rsidP="00E55F86">
      <w:pPr>
        <w:pStyle w:val="Titre2"/>
        <w:rPr>
          <w:b/>
          <w:bCs/>
          <w:sz w:val="28"/>
          <w:szCs w:val="28"/>
        </w:rPr>
      </w:pPr>
      <w:proofErr w:type="spellStart"/>
      <w:r w:rsidRPr="00E55F86">
        <w:rPr>
          <w:rFonts w:eastAsia="Calibri"/>
          <w:b/>
          <w:bCs/>
          <w:sz w:val="28"/>
          <w:szCs w:val="28"/>
        </w:rPr>
        <w:t>Etat</w:t>
      </w:r>
      <w:proofErr w:type="spellEnd"/>
      <w:r w:rsidRPr="00E55F86">
        <w:rPr>
          <w:rFonts w:eastAsia="Calibri"/>
          <w:b/>
          <w:bCs/>
          <w:sz w:val="28"/>
          <w:szCs w:val="28"/>
        </w:rPr>
        <w:t xml:space="preserve"> recettes-dépenses</w:t>
      </w:r>
    </w:p>
    <w:p w14:paraId="75A5BF1F" w14:textId="3B680BED" w:rsidR="00687A42" w:rsidRDefault="00000000" w:rsidP="00E55F86">
      <w:pPr>
        <w:spacing w:after="0"/>
      </w:pPr>
      <w:r>
        <w:rPr>
          <w:noProof/>
        </w:rPr>
        <w:drawing>
          <wp:inline distT="0" distB="0" distL="0" distR="0" wp14:anchorId="4844109B" wp14:editId="7FF4FA55">
            <wp:extent cx="4867525" cy="2571535"/>
            <wp:effectExtent l="12700" t="12700" r="9525" b="6985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 rotWithShape="1">
                    <a:blip r:embed="rId5"/>
                    <a:srcRect r="1701"/>
                    <a:stretch/>
                  </pic:blipFill>
                  <pic:spPr bwMode="auto">
                    <a:xfrm>
                      <a:off x="0" y="0"/>
                      <a:ext cx="4893463" cy="258523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20C6F" w14:textId="31043D88" w:rsidR="00687A42" w:rsidRPr="00E55F86" w:rsidRDefault="00000000" w:rsidP="00E55F86">
      <w:pPr>
        <w:pStyle w:val="Titre2"/>
        <w:rPr>
          <w:b/>
          <w:bCs/>
          <w:sz w:val="28"/>
          <w:szCs w:val="28"/>
        </w:rPr>
      </w:pPr>
      <w:r w:rsidRPr="00E55F86">
        <w:rPr>
          <w:rFonts w:eastAsia="Calibri"/>
          <w:b/>
          <w:bCs/>
          <w:sz w:val="28"/>
          <w:szCs w:val="28"/>
        </w:rPr>
        <w:t>Annexe</w:t>
      </w:r>
    </w:p>
    <w:p w14:paraId="4DC3E80C" w14:textId="53E30C68" w:rsidR="00687A42" w:rsidRPr="00E30D5A" w:rsidRDefault="00000000">
      <w:pPr>
        <w:spacing w:after="0"/>
        <w:ind w:left="-5" w:hanging="10"/>
        <w:rPr>
          <w:sz w:val="20"/>
          <w:szCs w:val="20"/>
        </w:rPr>
      </w:pPr>
      <w:r w:rsidRPr="00E30D5A">
        <w:rPr>
          <w:rFonts w:cs="Calibri"/>
          <w:sz w:val="20"/>
          <w:szCs w:val="20"/>
          <w:u w:val="single" w:color="000000"/>
        </w:rPr>
        <w:t>1. Résumé des règles d’évaluation :</w:t>
      </w:r>
      <w:r w:rsidRPr="00E30D5A">
        <w:rPr>
          <w:rFonts w:cs="Calibri"/>
          <w:sz w:val="20"/>
          <w:szCs w:val="20"/>
        </w:rPr>
        <w:t xml:space="preserve"> </w:t>
      </w:r>
    </w:p>
    <w:p w14:paraId="6FA9F996" w14:textId="074CA79D" w:rsidR="00687A42" w:rsidRPr="00E30D5A" w:rsidRDefault="00000000">
      <w:pPr>
        <w:spacing w:after="0"/>
        <w:ind w:left="-5" w:hanging="10"/>
        <w:rPr>
          <w:sz w:val="20"/>
          <w:szCs w:val="20"/>
        </w:rPr>
      </w:pPr>
      <w:r w:rsidRPr="00E30D5A">
        <w:rPr>
          <w:rFonts w:cs="Calibri"/>
          <w:sz w:val="20"/>
          <w:szCs w:val="20"/>
        </w:rPr>
        <w:t xml:space="preserve">Les machines, mobilier et matériel roulant </w:t>
      </w:r>
      <w:proofErr w:type="spellStart"/>
      <w:r w:rsidRPr="00E30D5A">
        <w:rPr>
          <w:rFonts w:cs="Calibri"/>
          <w:sz w:val="20"/>
          <w:szCs w:val="20"/>
        </w:rPr>
        <w:t>son</w:t>
      </w:r>
      <w:proofErr w:type="spellEnd"/>
      <w:r w:rsidRPr="00E30D5A">
        <w:rPr>
          <w:rFonts w:cs="Calibri"/>
          <w:sz w:val="20"/>
          <w:szCs w:val="20"/>
        </w:rPr>
        <w:t xml:space="preserve"> évalués à leur valeur de revente. </w:t>
      </w:r>
    </w:p>
    <w:p w14:paraId="66D8D88A" w14:textId="2512352A" w:rsidR="00687A42" w:rsidRPr="00E30D5A" w:rsidRDefault="00000000">
      <w:pPr>
        <w:spacing w:after="0"/>
        <w:ind w:left="-5" w:hanging="10"/>
        <w:rPr>
          <w:sz w:val="20"/>
          <w:szCs w:val="20"/>
        </w:rPr>
      </w:pPr>
      <w:r w:rsidRPr="00E30D5A">
        <w:rPr>
          <w:rFonts w:cs="Calibri"/>
          <w:sz w:val="20"/>
          <w:szCs w:val="20"/>
        </w:rPr>
        <w:t xml:space="preserve">Les autres éléments de l’état du patrimoine sont évalués à leur valeur nominale </w:t>
      </w:r>
    </w:p>
    <w:p w14:paraId="27F81973" w14:textId="4F283859" w:rsidR="00687A42" w:rsidRDefault="00000000">
      <w:pPr>
        <w:pStyle w:val="Titre1"/>
        <w:ind w:left="-5"/>
        <w:rPr>
          <w:sz w:val="20"/>
          <w:szCs w:val="20"/>
        </w:rPr>
      </w:pPr>
      <w:r w:rsidRPr="00E30D5A">
        <w:rPr>
          <w:sz w:val="20"/>
          <w:szCs w:val="20"/>
        </w:rPr>
        <w:t>2. Adaptation des règles d’évaluation</w:t>
      </w:r>
      <w:r w:rsidRPr="00E30D5A">
        <w:rPr>
          <w:sz w:val="20"/>
          <w:szCs w:val="20"/>
          <w:u w:val="none"/>
        </w:rPr>
        <w:t xml:space="preserve"> : NEANT</w:t>
      </w:r>
      <w:r w:rsidR="00E30D5A">
        <w:rPr>
          <w:sz w:val="20"/>
          <w:szCs w:val="20"/>
          <w:u w:val="none"/>
        </w:rPr>
        <w:br/>
      </w:r>
      <w:r w:rsidRPr="00E30D5A">
        <w:rPr>
          <w:sz w:val="20"/>
          <w:szCs w:val="20"/>
        </w:rPr>
        <w:t>3. Informations complémentaires :</w:t>
      </w:r>
      <w:r w:rsidRPr="00E30D5A">
        <w:rPr>
          <w:sz w:val="20"/>
          <w:szCs w:val="20"/>
          <w:u w:val="none"/>
        </w:rPr>
        <w:t xml:space="preserve"> NEANT </w:t>
      </w:r>
      <w:r w:rsidR="00E30D5A">
        <w:rPr>
          <w:sz w:val="20"/>
          <w:szCs w:val="20"/>
          <w:u w:val="none"/>
        </w:rPr>
        <w:br/>
      </w:r>
      <w:r w:rsidRPr="00E30D5A">
        <w:rPr>
          <w:sz w:val="20"/>
          <w:szCs w:val="20"/>
        </w:rPr>
        <w:t>4. E</w:t>
      </w:r>
      <w:proofErr w:type="spellStart"/>
      <w:r w:rsidRPr="00E30D5A">
        <w:rPr>
          <w:sz w:val="20"/>
          <w:szCs w:val="20"/>
        </w:rPr>
        <w:t>tat</w:t>
      </w:r>
      <w:proofErr w:type="spellEnd"/>
      <w:r w:rsidRPr="00E30D5A">
        <w:rPr>
          <w:sz w:val="20"/>
          <w:szCs w:val="20"/>
        </w:rPr>
        <w:t xml:space="preserve"> du patrimoine</w:t>
      </w:r>
    </w:p>
    <w:p w14:paraId="22F90EF3" w14:textId="58C18F42" w:rsidR="00E30D5A" w:rsidRPr="00E30D5A" w:rsidRDefault="00E30D5A" w:rsidP="00E30D5A">
      <w:pPr>
        <w:rPr>
          <w:lang w:val="fr-FR" w:eastAsia="fr-FR"/>
        </w:rPr>
      </w:pPr>
      <w:r w:rsidRPr="00E30D5A">
        <w:rPr>
          <w:lang w:eastAsia="fr-FR"/>
        </w:rPr>
        <w:t>5</w:t>
      </w:r>
      <w:r w:rsidRPr="00E30D5A">
        <w:rPr>
          <w:rFonts w:cs="Calibri"/>
          <w:sz w:val="20"/>
          <w:szCs w:val="20"/>
          <w:u w:val="single" w:color="000000"/>
          <w:lang w:val="fr-FR" w:eastAsia="fr-FR"/>
        </w:rPr>
        <w:t>. Droits et engagements importants qui ne sont pas susceptibles d’être quantifiés :</w:t>
      </w:r>
      <w:r w:rsidRPr="00E30D5A">
        <w:rPr>
          <w:rFonts w:cs="Calibri"/>
          <w:sz w:val="20"/>
          <w:szCs w:val="20"/>
          <w:u w:color="000000"/>
          <w:lang w:val="fr-FR" w:eastAsia="fr-FR"/>
        </w:rPr>
        <w:t xml:space="preserve"> NEANT</w:t>
      </w:r>
    </w:p>
    <w:p w14:paraId="2B0A6150" w14:textId="4313C656" w:rsidR="00687A42" w:rsidRDefault="00000000" w:rsidP="00E55F86">
      <w:pPr>
        <w:spacing w:after="117"/>
        <w:ind w:right="841"/>
      </w:pPr>
      <w:r>
        <w:rPr>
          <w:noProof/>
        </w:rPr>
        <w:drawing>
          <wp:inline distT="0" distB="0" distL="0" distR="0" wp14:anchorId="78A85AEB" wp14:editId="42DBABDA">
            <wp:extent cx="4448710" cy="3222313"/>
            <wp:effectExtent l="0" t="0" r="0" b="381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3370" cy="323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A42">
      <w:pgSz w:w="11906" w:h="16838"/>
      <w:pgMar w:top="1423" w:right="13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42"/>
    <w:rsid w:val="00687A42"/>
    <w:rsid w:val="00E30D5A"/>
    <w:rsid w:val="00E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170D"/>
  <w15:docId w15:val="{CD1E9104-8C01-2E4B-9477-FCE4BC70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fr" w:eastAsia="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0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30D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0D5A"/>
    <w:rPr>
      <w:rFonts w:asciiTheme="majorHAnsi" w:eastAsiaTheme="majorEastAsia" w:hAnsiTheme="majorHAnsi" w:cstheme="majorBidi"/>
      <w:spacing w:val="-10"/>
      <w:kern w:val="28"/>
      <w:sz w:val="56"/>
      <w:szCs w:val="56"/>
      <w:lang w:val="fr" w:eastAsia="fr"/>
    </w:rPr>
  </w:style>
  <w:style w:type="character" w:customStyle="1" w:styleId="Titre2Car">
    <w:name w:val="Titre 2 Car"/>
    <w:basedOn w:val="Policepardfaut"/>
    <w:link w:val="Titre2"/>
    <w:uiPriority w:val="9"/>
    <w:rsid w:val="00E30D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" w:eastAsia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Gaëtane FédéAU</dc:creator>
  <cp:keywords/>
  <cp:lastModifiedBy>LS Hmn</cp:lastModifiedBy>
  <cp:revision>3</cp:revision>
  <cp:lastPrinted>2024-02-19T11:36:00Z</cp:lastPrinted>
  <dcterms:created xsi:type="dcterms:W3CDTF">2024-02-19T11:36:00Z</dcterms:created>
  <dcterms:modified xsi:type="dcterms:W3CDTF">2024-02-19T11:38:00Z</dcterms:modified>
</cp:coreProperties>
</file>